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heme="minorEastAsia" w:hAnsiTheme="minorEastAsia"/>
          <w:sz w:val="28"/>
          <w:szCs w:val="28"/>
        </w:rPr>
      </w:pPr>
    </w:p>
    <w:p>
      <w:pPr>
        <w:ind w:firstLine="570"/>
        <w:jc w:val="center"/>
        <w:rPr>
          <w:rFonts w:hint="eastAsia" w:asciiTheme="majorEastAsia" w:hAnsiTheme="majorEastAsia" w:eastAsiaTheme="majorEastAsia"/>
          <w:b/>
          <w:sz w:val="36"/>
          <w:szCs w:val="36"/>
          <w:lang w:eastAsia="zh-CN"/>
        </w:rPr>
      </w:pPr>
      <w:r>
        <w:rPr>
          <w:rFonts w:hint="eastAsia" w:asciiTheme="majorEastAsia" w:hAnsiTheme="majorEastAsia" w:eastAsiaTheme="majorEastAsia"/>
          <w:b/>
          <w:sz w:val="44"/>
          <w:szCs w:val="44"/>
          <w:lang w:eastAsia="zh-CN"/>
        </w:rPr>
        <w:t>放射科</w:t>
      </w:r>
      <w:r>
        <w:rPr>
          <w:rFonts w:hint="eastAsia" w:asciiTheme="majorEastAsia" w:hAnsiTheme="majorEastAsia" w:eastAsiaTheme="majorEastAsia"/>
          <w:b/>
          <w:sz w:val="44"/>
          <w:szCs w:val="44"/>
          <w:lang w:val="en-US" w:eastAsia="zh-CN"/>
        </w:rPr>
        <w:t>MR屏蔽门维修项目院内</w:t>
      </w:r>
      <w:r>
        <w:rPr>
          <w:rFonts w:hint="eastAsia" w:asciiTheme="majorEastAsia" w:hAnsiTheme="majorEastAsia" w:eastAsiaTheme="majorEastAsia"/>
          <w:b/>
          <w:sz w:val="44"/>
          <w:szCs w:val="44"/>
          <w:lang w:eastAsia="zh-CN"/>
        </w:rPr>
        <w:t>谈判公告</w:t>
      </w:r>
    </w:p>
    <w:p>
      <w:pPr>
        <w:jc w:val="both"/>
        <w:rPr>
          <w:rFonts w:hint="eastAsia" w:asciiTheme="majorEastAsia" w:hAnsiTheme="majorEastAsia" w:eastAsiaTheme="majorEastAsia"/>
          <w:b/>
          <w:sz w:val="36"/>
          <w:szCs w:val="36"/>
          <w:lang w:eastAsia="zh-CN"/>
        </w:rPr>
      </w:pPr>
    </w:p>
    <w:p>
      <w:pPr>
        <w:jc w:val="left"/>
        <w:rPr>
          <w:rFonts w:hint="default"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1、</w:t>
      </w:r>
      <w:r>
        <w:rPr>
          <w:rFonts w:hint="eastAsia" w:asciiTheme="majorEastAsia" w:hAnsiTheme="majorEastAsia" w:eastAsiaTheme="majorEastAsia"/>
          <w:b w:val="0"/>
          <w:bCs/>
          <w:sz w:val="36"/>
          <w:szCs w:val="36"/>
          <w:lang w:eastAsia="zh-CN"/>
        </w:rPr>
        <w:t>名称：放射科</w:t>
      </w:r>
      <w:r>
        <w:rPr>
          <w:rFonts w:hint="eastAsia" w:asciiTheme="majorEastAsia" w:hAnsiTheme="majorEastAsia" w:eastAsiaTheme="majorEastAsia"/>
          <w:b w:val="0"/>
          <w:bCs/>
          <w:sz w:val="36"/>
          <w:szCs w:val="36"/>
          <w:lang w:val="en-US" w:eastAsia="zh-CN"/>
        </w:rPr>
        <w:t>MR屏蔽门维修项目</w:t>
      </w:r>
    </w:p>
    <w:p>
      <w:pPr>
        <w:jc w:val="left"/>
        <w:rPr>
          <w:rFonts w:hint="eastAsia"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2、</w:t>
      </w:r>
      <w:r>
        <w:rPr>
          <w:rFonts w:hint="eastAsia" w:asciiTheme="majorEastAsia" w:hAnsiTheme="majorEastAsia" w:eastAsiaTheme="majorEastAsia"/>
          <w:b w:val="0"/>
          <w:bCs/>
          <w:sz w:val="36"/>
          <w:szCs w:val="36"/>
          <w:lang w:eastAsia="zh-CN"/>
        </w:rPr>
        <w:t>谈判时间：</w:t>
      </w:r>
      <w:r>
        <w:rPr>
          <w:rFonts w:hint="eastAsia" w:asciiTheme="majorEastAsia" w:hAnsiTheme="majorEastAsia" w:eastAsiaTheme="majorEastAsia"/>
          <w:b w:val="0"/>
          <w:bCs/>
          <w:sz w:val="36"/>
          <w:szCs w:val="36"/>
          <w:lang w:val="en-US" w:eastAsia="zh-CN"/>
        </w:rPr>
        <w:t>2026年9月7日10时0分</w:t>
      </w:r>
    </w:p>
    <w:p>
      <w:pPr>
        <w:jc w:val="left"/>
        <w:rPr>
          <w:rFonts w:hint="default"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3、谈判地点：21号楼一层108会议室。</w:t>
      </w:r>
    </w:p>
    <w:p>
      <w:pPr>
        <w:jc w:val="left"/>
        <w:rPr>
          <w:rFonts w:hint="eastAsia"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4、资格条件：营业执照经营范围包含金属门窗工程施工或金属结构销售或射线防护工程。</w:t>
      </w:r>
    </w:p>
    <w:p>
      <w:pPr>
        <w:jc w:val="left"/>
        <w:rPr>
          <w:rFonts w:hint="eastAsia"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5、报价说明：按报价单格式进行报价，现场进行二次报价，二次报价低者胜出。报价单见附件。</w:t>
      </w:r>
    </w:p>
    <w:p>
      <w:pPr>
        <w:jc w:val="left"/>
        <w:rPr>
          <w:rFonts w:hint="default"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6、联系人：钱老师 0575-83338226。</w:t>
      </w:r>
    </w:p>
    <w:p>
      <w:pPr>
        <w:jc w:val="left"/>
        <w:rPr>
          <w:rFonts w:hint="default"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7、预算：19000元（包拆装）。</w:t>
      </w:r>
    </w:p>
    <w:p>
      <w:pPr>
        <w:jc w:val="left"/>
        <w:rPr>
          <w:rFonts w:hint="eastAsia"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8、注意事项：若非法人参加谈判，需提供授权委托书，并附带法人和被委托人身份证正反面复印件。</w:t>
      </w:r>
    </w:p>
    <w:p>
      <w:pPr>
        <w:jc w:val="left"/>
        <w:rPr>
          <w:rFonts w:hint="default"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9、不接受现场报名，可发送报名表至邮箱报名：julyme@qq.com。报名时间：2026年9月7日0时前。</w:t>
      </w:r>
    </w:p>
    <w:p>
      <w:pPr>
        <w:jc w:val="both"/>
        <w:rPr>
          <w:rFonts w:hint="eastAsia" w:asciiTheme="majorEastAsia" w:hAnsiTheme="majorEastAsia" w:eastAsiaTheme="majorEastAsia"/>
          <w:b w:val="0"/>
          <w:bCs/>
          <w:sz w:val="36"/>
          <w:szCs w:val="36"/>
          <w:lang w:val="en-US" w:eastAsia="zh-CN"/>
        </w:rPr>
      </w:pPr>
    </w:p>
    <w:p>
      <w:pPr>
        <w:jc w:val="right"/>
        <w:rPr>
          <w:rFonts w:hint="eastAsia"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嵊州市人民医院</w:t>
      </w:r>
    </w:p>
    <w:p>
      <w:pPr>
        <w:jc w:val="right"/>
        <w:rPr>
          <w:rFonts w:hint="eastAsia" w:asciiTheme="majorEastAsia" w:hAnsiTheme="majorEastAsia" w:eastAsiaTheme="majorEastAsia"/>
          <w:b w:val="0"/>
          <w:bCs/>
          <w:sz w:val="36"/>
          <w:szCs w:val="36"/>
          <w:lang w:val="en-US" w:eastAsia="zh-CN"/>
        </w:rPr>
      </w:pPr>
      <w:r>
        <w:rPr>
          <w:rFonts w:hint="eastAsia" w:asciiTheme="majorEastAsia" w:hAnsiTheme="majorEastAsia" w:eastAsiaTheme="majorEastAsia"/>
          <w:b w:val="0"/>
          <w:bCs/>
          <w:sz w:val="36"/>
          <w:szCs w:val="36"/>
          <w:lang w:val="en-US" w:eastAsia="zh-CN"/>
        </w:rPr>
        <w:t>2026/9/</w:t>
      </w:r>
      <w:bookmarkStart w:id="0" w:name="_GoBack"/>
      <w:bookmarkEnd w:id="0"/>
      <w:r>
        <w:rPr>
          <w:rFonts w:hint="eastAsia" w:asciiTheme="majorEastAsia" w:hAnsiTheme="majorEastAsia" w:eastAsiaTheme="majorEastAsia"/>
          <w:b w:val="0"/>
          <w:bCs/>
          <w:sz w:val="36"/>
          <w:szCs w:val="36"/>
          <w:lang w:val="en-US" w:eastAsia="zh-CN"/>
        </w:rPr>
        <w:t>1</w:t>
      </w:r>
    </w:p>
    <w:p>
      <w:pPr>
        <w:jc w:val="right"/>
        <w:rPr>
          <w:rFonts w:hint="eastAsia" w:asciiTheme="majorEastAsia" w:hAnsiTheme="majorEastAsia" w:eastAsiaTheme="majorEastAsia"/>
          <w:b w:val="0"/>
          <w:bCs/>
          <w:sz w:val="36"/>
          <w:szCs w:val="36"/>
          <w:lang w:val="en-US" w:eastAsia="zh-CN"/>
        </w:rPr>
      </w:pPr>
    </w:p>
    <w:p>
      <w:pPr>
        <w:jc w:val="right"/>
        <w:rPr>
          <w:rFonts w:hint="eastAsia" w:asciiTheme="majorEastAsia" w:hAnsiTheme="majorEastAsia" w:eastAsiaTheme="majorEastAsia"/>
          <w:b w:val="0"/>
          <w:bCs/>
          <w:sz w:val="36"/>
          <w:szCs w:val="36"/>
          <w:lang w:val="en-US" w:eastAsia="zh-CN"/>
        </w:rPr>
      </w:pPr>
    </w:p>
    <w:p>
      <w:pPr>
        <w:jc w:val="left"/>
        <w:rPr>
          <w:rFonts w:hint="eastAsia" w:asciiTheme="majorEastAsia" w:hAnsiTheme="majorEastAsia" w:eastAsiaTheme="majorEastAsia"/>
          <w:b w:val="0"/>
          <w:bCs/>
          <w:sz w:val="36"/>
          <w:szCs w:val="36"/>
          <w:lang w:val="en-US" w:eastAsia="zh-CN"/>
        </w:rPr>
      </w:pPr>
    </w:p>
    <w:p>
      <w:pPr>
        <w:jc w:val="center"/>
        <w:rPr>
          <w:rFonts w:hint="eastAsia" w:asciiTheme="majorEastAsia" w:hAnsiTheme="majorEastAsia" w:eastAsiaTheme="majorEastAsia"/>
          <w:b/>
          <w:sz w:val="44"/>
          <w:szCs w:val="44"/>
          <w:lang w:val="en-US" w:eastAsia="zh-CN"/>
        </w:rPr>
      </w:pPr>
      <w:r>
        <w:rPr>
          <w:rFonts w:hint="eastAsia" w:asciiTheme="majorEastAsia" w:hAnsiTheme="majorEastAsia" w:eastAsiaTheme="majorEastAsia"/>
          <w:b/>
          <w:sz w:val="44"/>
          <w:szCs w:val="44"/>
          <w:lang w:eastAsia="zh-CN"/>
        </w:rPr>
        <w:t>放射科</w:t>
      </w:r>
      <w:r>
        <w:rPr>
          <w:rFonts w:hint="eastAsia" w:asciiTheme="majorEastAsia" w:hAnsiTheme="majorEastAsia" w:eastAsiaTheme="majorEastAsia"/>
          <w:b/>
          <w:sz w:val="44"/>
          <w:szCs w:val="44"/>
          <w:lang w:val="en-US" w:eastAsia="zh-CN"/>
        </w:rPr>
        <w:t>MR屏蔽门维修项目报价单</w:t>
      </w:r>
    </w:p>
    <w:p>
      <w:pPr>
        <w:jc w:val="center"/>
        <w:rPr>
          <w:rFonts w:hint="eastAsia" w:asciiTheme="majorEastAsia" w:hAnsiTheme="majorEastAsia" w:eastAsiaTheme="majorEastAsia"/>
          <w:b/>
          <w:sz w:val="44"/>
          <w:szCs w:val="44"/>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3142"/>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tcPr>
          <w:p>
            <w:pPr>
              <w:jc w:val="center"/>
              <w:rPr>
                <w:rFonts w:hint="default" w:asciiTheme="majorEastAsia" w:hAnsiTheme="majorEastAsia" w:eastAsiaTheme="majorEastAsia"/>
                <w:b/>
                <w:sz w:val="30"/>
                <w:szCs w:val="30"/>
                <w:vertAlign w:val="baseline"/>
                <w:lang w:val="en-US" w:eastAsia="zh-CN"/>
              </w:rPr>
            </w:pPr>
            <w:r>
              <w:rPr>
                <w:rFonts w:hint="eastAsia" w:asciiTheme="majorEastAsia" w:hAnsiTheme="majorEastAsia" w:eastAsiaTheme="majorEastAsia"/>
                <w:b/>
                <w:sz w:val="30"/>
                <w:szCs w:val="30"/>
                <w:vertAlign w:val="baseline"/>
                <w:lang w:val="en-US" w:eastAsia="zh-CN"/>
              </w:rPr>
              <w:t>序号</w:t>
            </w:r>
          </w:p>
        </w:tc>
        <w:tc>
          <w:tcPr>
            <w:tcW w:w="3142" w:type="dxa"/>
          </w:tcPr>
          <w:p>
            <w:pPr>
              <w:jc w:val="center"/>
              <w:rPr>
                <w:rFonts w:hint="default" w:asciiTheme="majorEastAsia" w:hAnsiTheme="majorEastAsia" w:eastAsiaTheme="majorEastAsia"/>
                <w:b/>
                <w:sz w:val="30"/>
                <w:szCs w:val="30"/>
                <w:vertAlign w:val="baseline"/>
                <w:lang w:val="en-US" w:eastAsia="zh-CN"/>
              </w:rPr>
            </w:pPr>
            <w:r>
              <w:rPr>
                <w:rFonts w:hint="eastAsia" w:asciiTheme="majorEastAsia" w:hAnsiTheme="majorEastAsia" w:eastAsiaTheme="majorEastAsia"/>
                <w:b/>
                <w:sz w:val="30"/>
                <w:szCs w:val="30"/>
                <w:vertAlign w:val="baseline"/>
                <w:lang w:val="en-US" w:eastAsia="zh-CN"/>
              </w:rPr>
              <w:t>项目内容</w:t>
            </w:r>
          </w:p>
        </w:tc>
        <w:tc>
          <w:tcPr>
            <w:tcW w:w="2131" w:type="dxa"/>
          </w:tcPr>
          <w:p>
            <w:pPr>
              <w:jc w:val="center"/>
              <w:rPr>
                <w:rFonts w:hint="default" w:asciiTheme="majorEastAsia" w:hAnsiTheme="majorEastAsia" w:eastAsiaTheme="majorEastAsia"/>
                <w:b/>
                <w:sz w:val="30"/>
                <w:szCs w:val="30"/>
                <w:vertAlign w:val="baseline"/>
                <w:lang w:val="en-US" w:eastAsia="zh-CN"/>
              </w:rPr>
            </w:pPr>
            <w:r>
              <w:rPr>
                <w:rFonts w:hint="eastAsia" w:asciiTheme="majorEastAsia" w:hAnsiTheme="majorEastAsia" w:eastAsiaTheme="majorEastAsia"/>
                <w:b/>
                <w:sz w:val="30"/>
                <w:szCs w:val="30"/>
                <w:vertAlign w:val="baseline"/>
                <w:lang w:val="en-US" w:eastAsia="zh-CN"/>
              </w:rPr>
              <w:t>报价</w:t>
            </w:r>
          </w:p>
        </w:tc>
        <w:tc>
          <w:tcPr>
            <w:tcW w:w="2131" w:type="dxa"/>
          </w:tcPr>
          <w:p>
            <w:pPr>
              <w:jc w:val="center"/>
              <w:rPr>
                <w:rFonts w:hint="default" w:asciiTheme="majorEastAsia" w:hAnsiTheme="majorEastAsia" w:eastAsiaTheme="majorEastAsia"/>
                <w:b/>
                <w:sz w:val="30"/>
                <w:szCs w:val="30"/>
                <w:vertAlign w:val="baseline"/>
                <w:lang w:val="en-US" w:eastAsia="zh-CN"/>
              </w:rPr>
            </w:pPr>
            <w:r>
              <w:rPr>
                <w:rFonts w:hint="eastAsia" w:asciiTheme="majorEastAsia" w:hAnsiTheme="majorEastAsia" w:eastAsiaTheme="majorEastAsia"/>
                <w:b/>
                <w:sz w:val="30"/>
                <w:szCs w:val="30"/>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1</w:t>
            </w:r>
          </w:p>
        </w:tc>
        <w:tc>
          <w:tcPr>
            <w:tcW w:w="3142"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旧屏蔽门拆除</w:t>
            </w:r>
          </w:p>
        </w:tc>
        <w:tc>
          <w:tcPr>
            <w:tcW w:w="2131" w:type="dxa"/>
          </w:tcPr>
          <w:p>
            <w:pPr>
              <w:jc w:val="center"/>
              <w:rPr>
                <w:rFonts w:hint="default" w:asciiTheme="majorEastAsia" w:hAnsiTheme="majorEastAsia" w:eastAsiaTheme="majorEastAsia"/>
                <w:b/>
                <w:sz w:val="30"/>
                <w:szCs w:val="30"/>
                <w:vertAlign w:val="baseline"/>
                <w:lang w:val="en-US" w:eastAsia="zh-CN"/>
              </w:rPr>
            </w:pPr>
          </w:p>
        </w:tc>
        <w:tc>
          <w:tcPr>
            <w:tcW w:w="2131" w:type="dxa"/>
            <w:vMerge w:val="restart"/>
          </w:tcPr>
          <w:p>
            <w:pPr>
              <w:jc w:val="center"/>
              <w:rPr>
                <w:rFonts w:hint="eastAsia" w:asciiTheme="majorEastAsia" w:hAnsiTheme="majorEastAsia" w:eastAsiaTheme="majorEastAsia"/>
                <w:b/>
                <w:sz w:val="30"/>
                <w:szCs w:val="30"/>
                <w:vertAlign w:val="baseline"/>
                <w:lang w:val="en-US" w:eastAsia="zh-CN"/>
              </w:rPr>
            </w:pPr>
            <w:r>
              <w:rPr>
                <w:rFonts w:hint="eastAsia" w:asciiTheme="majorEastAsia" w:hAnsiTheme="majorEastAsia" w:eastAsiaTheme="majorEastAsia"/>
                <w:b/>
                <w:sz w:val="30"/>
                <w:szCs w:val="30"/>
                <w:vertAlign w:val="baseline"/>
                <w:lang w:val="en-US" w:eastAsia="zh-CN"/>
              </w:rPr>
              <w:t>屏蔽门尺寸</w:t>
            </w:r>
          </w:p>
          <w:p>
            <w:pPr>
              <w:jc w:val="center"/>
              <w:rPr>
                <w:rFonts w:hint="default" w:asciiTheme="majorEastAsia" w:hAnsiTheme="majorEastAsia" w:eastAsiaTheme="majorEastAsia"/>
                <w:b/>
                <w:sz w:val="30"/>
                <w:szCs w:val="30"/>
                <w:vertAlign w:val="baseline"/>
                <w:lang w:val="en-US" w:eastAsia="zh-CN"/>
              </w:rPr>
            </w:pPr>
            <w:r>
              <w:rPr>
                <w:rFonts w:hint="eastAsia" w:asciiTheme="majorEastAsia" w:hAnsiTheme="majorEastAsia" w:eastAsiaTheme="majorEastAsia"/>
                <w:b/>
                <w:sz w:val="30"/>
                <w:szCs w:val="30"/>
                <w:vertAlign w:val="baseline"/>
                <w:lang w:val="en-US" w:eastAsia="zh-CN"/>
              </w:rPr>
              <w:t>1400*2200 mm²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2</w:t>
            </w:r>
          </w:p>
        </w:tc>
        <w:tc>
          <w:tcPr>
            <w:tcW w:w="3142"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新屏蔽门</w:t>
            </w:r>
          </w:p>
        </w:tc>
        <w:tc>
          <w:tcPr>
            <w:tcW w:w="2131" w:type="dxa"/>
          </w:tcPr>
          <w:p>
            <w:pPr>
              <w:jc w:val="center"/>
              <w:rPr>
                <w:rFonts w:hint="default" w:asciiTheme="majorEastAsia" w:hAnsiTheme="majorEastAsia" w:eastAsiaTheme="majorEastAsia"/>
                <w:b/>
                <w:sz w:val="44"/>
                <w:szCs w:val="44"/>
                <w:vertAlign w:val="baseline"/>
                <w:lang w:val="en-US" w:eastAsia="zh-CN"/>
              </w:rPr>
            </w:pPr>
          </w:p>
        </w:tc>
        <w:tc>
          <w:tcPr>
            <w:tcW w:w="2131" w:type="dxa"/>
            <w:vMerge w:val="continue"/>
          </w:tcPr>
          <w:p>
            <w:pPr>
              <w:jc w:val="center"/>
              <w:rPr>
                <w:rFonts w:hint="default" w:asciiTheme="majorEastAsia" w:hAnsiTheme="majorEastAsia" w:eastAsiaTheme="majorEastAsia"/>
                <w:b/>
                <w:sz w:val="44"/>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3</w:t>
            </w:r>
          </w:p>
        </w:tc>
        <w:tc>
          <w:tcPr>
            <w:tcW w:w="3142"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铝塑板门套</w:t>
            </w:r>
          </w:p>
        </w:tc>
        <w:tc>
          <w:tcPr>
            <w:tcW w:w="2131" w:type="dxa"/>
          </w:tcPr>
          <w:p>
            <w:pPr>
              <w:jc w:val="center"/>
              <w:rPr>
                <w:rFonts w:hint="default" w:asciiTheme="majorEastAsia" w:hAnsiTheme="majorEastAsia" w:eastAsiaTheme="majorEastAsia"/>
                <w:b/>
                <w:sz w:val="44"/>
                <w:szCs w:val="44"/>
                <w:vertAlign w:val="baseline"/>
                <w:lang w:val="en-US" w:eastAsia="zh-CN"/>
              </w:rPr>
            </w:pPr>
          </w:p>
        </w:tc>
        <w:tc>
          <w:tcPr>
            <w:tcW w:w="2131" w:type="dxa"/>
            <w:vMerge w:val="continue"/>
          </w:tcPr>
          <w:p>
            <w:pPr>
              <w:jc w:val="center"/>
              <w:rPr>
                <w:rFonts w:hint="default" w:asciiTheme="majorEastAsia" w:hAnsiTheme="majorEastAsia" w:eastAsiaTheme="majorEastAsia"/>
                <w:b/>
                <w:sz w:val="44"/>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4</w:t>
            </w:r>
          </w:p>
        </w:tc>
        <w:tc>
          <w:tcPr>
            <w:tcW w:w="3142"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新门安装费</w:t>
            </w:r>
          </w:p>
        </w:tc>
        <w:tc>
          <w:tcPr>
            <w:tcW w:w="2131" w:type="dxa"/>
          </w:tcPr>
          <w:p>
            <w:pPr>
              <w:jc w:val="center"/>
              <w:rPr>
                <w:rFonts w:hint="default" w:asciiTheme="majorEastAsia" w:hAnsiTheme="majorEastAsia" w:eastAsiaTheme="majorEastAsia"/>
                <w:b/>
                <w:sz w:val="44"/>
                <w:szCs w:val="44"/>
                <w:vertAlign w:val="baseline"/>
                <w:lang w:val="en-US" w:eastAsia="zh-CN"/>
              </w:rPr>
            </w:pPr>
          </w:p>
        </w:tc>
        <w:tc>
          <w:tcPr>
            <w:tcW w:w="2131" w:type="dxa"/>
          </w:tcPr>
          <w:p>
            <w:pPr>
              <w:jc w:val="center"/>
              <w:rPr>
                <w:rFonts w:hint="default" w:asciiTheme="majorEastAsia" w:hAnsiTheme="majorEastAsia" w:eastAsiaTheme="majorEastAsia"/>
                <w:b/>
                <w:sz w:val="44"/>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5</w:t>
            </w:r>
          </w:p>
        </w:tc>
        <w:tc>
          <w:tcPr>
            <w:tcW w:w="3142"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零星焊接及修复</w:t>
            </w:r>
          </w:p>
        </w:tc>
        <w:tc>
          <w:tcPr>
            <w:tcW w:w="2131" w:type="dxa"/>
          </w:tcPr>
          <w:p>
            <w:pPr>
              <w:jc w:val="center"/>
              <w:rPr>
                <w:rFonts w:hint="default" w:asciiTheme="majorEastAsia" w:hAnsiTheme="majorEastAsia" w:eastAsiaTheme="majorEastAsia"/>
                <w:b/>
                <w:sz w:val="44"/>
                <w:szCs w:val="44"/>
                <w:vertAlign w:val="baseline"/>
                <w:lang w:val="en-US" w:eastAsia="zh-CN"/>
              </w:rPr>
            </w:pPr>
          </w:p>
        </w:tc>
        <w:tc>
          <w:tcPr>
            <w:tcW w:w="2131" w:type="dxa"/>
          </w:tcPr>
          <w:p>
            <w:pPr>
              <w:jc w:val="center"/>
              <w:rPr>
                <w:rFonts w:hint="default" w:asciiTheme="majorEastAsia" w:hAnsiTheme="majorEastAsia" w:eastAsiaTheme="majorEastAsia"/>
                <w:b/>
                <w:sz w:val="44"/>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6</w:t>
            </w:r>
          </w:p>
        </w:tc>
        <w:tc>
          <w:tcPr>
            <w:tcW w:w="3142"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地胶及其他修复</w:t>
            </w:r>
          </w:p>
        </w:tc>
        <w:tc>
          <w:tcPr>
            <w:tcW w:w="2131" w:type="dxa"/>
          </w:tcPr>
          <w:p>
            <w:pPr>
              <w:jc w:val="center"/>
              <w:rPr>
                <w:rFonts w:hint="default" w:asciiTheme="majorEastAsia" w:hAnsiTheme="majorEastAsia" w:eastAsiaTheme="majorEastAsia"/>
                <w:b/>
                <w:sz w:val="44"/>
                <w:szCs w:val="44"/>
                <w:vertAlign w:val="baseline"/>
                <w:lang w:val="en-US" w:eastAsia="zh-CN"/>
              </w:rPr>
            </w:pPr>
          </w:p>
        </w:tc>
        <w:tc>
          <w:tcPr>
            <w:tcW w:w="2131" w:type="dxa"/>
          </w:tcPr>
          <w:p>
            <w:pPr>
              <w:jc w:val="center"/>
              <w:rPr>
                <w:rFonts w:hint="default" w:asciiTheme="majorEastAsia" w:hAnsiTheme="majorEastAsia" w:eastAsiaTheme="majorEastAsia"/>
                <w:b/>
                <w:sz w:val="44"/>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7</w:t>
            </w:r>
          </w:p>
        </w:tc>
        <w:tc>
          <w:tcPr>
            <w:tcW w:w="3142" w:type="dxa"/>
          </w:tcPr>
          <w:p>
            <w:pPr>
              <w:jc w:val="center"/>
              <w:rPr>
                <w:rFonts w:hint="eastAsia"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税费</w:t>
            </w:r>
          </w:p>
        </w:tc>
        <w:tc>
          <w:tcPr>
            <w:tcW w:w="2131" w:type="dxa"/>
          </w:tcPr>
          <w:p>
            <w:pPr>
              <w:jc w:val="center"/>
              <w:rPr>
                <w:rFonts w:hint="default" w:asciiTheme="majorEastAsia" w:hAnsiTheme="majorEastAsia" w:eastAsiaTheme="majorEastAsia"/>
                <w:b/>
                <w:sz w:val="44"/>
                <w:szCs w:val="44"/>
                <w:vertAlign w:val="baseline"/>
                <w:lang w:val="en-US" w:eastAsia="zh-CN"/>
              </w:rPr>
            </w:pPr>
          </w:p>
        </w:tc>
        <w:tc>
          <w:tcPr>
            <w:tcW w:w="2131" w:type="dxa"/>
          </w:tcPr>
          <w:p>
            <w:pPr>
              <w:jc w:val="center"/>
              <w:rPr>
                <w:rFonts w:hint="default" w:asciiTheme="majorEastAsia" w:hAnsiTheme="majorEastAsia" w:eastAsiaTheme="majorEastAsia"/>
                <w:b/>
                <w:sz w:val="44"/>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tcPr>
          <w:p>
            <w:pPr>
              <w:jc w:val="center"/>
              <w:rPr>
                <w:rFonts w:hint="default"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8</w:t>
            </w:r>
          </w:p>
        </w:tc>
        <w:tc>
          <w:tcPr>
            <w:tcW w:w="3142" w:type="dxa"/>
          </w:tcPr>
          <w:p>
            <w:pPr>
              <w:jc w:val="center"/>
              <w:rPr>
                <w:rFonts w:hint="eastAsia" w:asciiTheme="majorEastAsia" w:hAnsiTheme="majorEastAsia" w:eastAsiaTheme="majorEastAsia"/>
                <w:b w:val="0"/>
                <w:bCs/>
                <w:sz w:val="30"/>
                <w:szCs w:val="30"/>
                <w:vertAlign w:val="baseline"/>
                <w:lang w:val="en-US" w:eastAsia="zh-CN"/>
              </w:rPr>
            </w:pPr>
            <w:r>
              <w:rPr>
                <w:rFonts w:hint="eastAsia" w:asciiTheme="majorEastAsia" w:hAnsiTheme="majorEastAsia" w:eastAsiaTheme="majorEastAsia"/>
                <w:b w:val="0"/>
                <w:bCs/>
                <w:sz w:val="30"/>
                <w:szCs w:val="30"/>
                <w:vertAlign w:val="baseline"/>
                <w:lang w:val="en-US" w:eastAsia="zh-CN"/>
              </w:rPr>
              <w:t>总价</w:t>
            </w:r>
          </w:p>
        </w:tc>
        <w:tc>
          <w:tcPr>
            <w:tcW w:w="2131" w:type="dxa"/>
          </w:tcPr>
          <w:p>
            <w:pPr>
              <w:jc w:val="center"/>
              <w:rPr>
                <w:rFonts w:hint="default" w:asciiTheme="majorEastAsia" w:hAnsiTheme="majorEastAsia" w:eastAsiaTheme="majorEastAsia"/>
                <w:b/>
                <w:sz w:val="44"/>
                <w:szCs w:val="44"/>
                <w:vertAlign w:val="baseline"/>
                <w:lang w:val="en-US" w:eastAsia="zh-CN"/>
              </w:rPr>
            </w:pPr>
          </w:p>
        </w:tc>
        <w:tc>
          <w:tcPr>
            <w:tcW w:w="2131" w:type="dxa"/>
          </w:tcPr>
          <w:p>
            <w:pPr>
              <w:jc w:val="center"/>
              <w:rPr>
                <w:rFonts w:hint="default" w:asciiTheme="majorEastAsia" w:hAnsiTheme="majorEastAsia" w:eastAsiaTheme="majorEastAsia"/>
                <w:b/>
                <w:sz w:val="44"/>
                <w:szCs w:val="44"/>
                <w:vertAlign w:val="baseline"/>
                <w:lang w:val="en-US" w:eastAsia="zh-CN"/>
              </w:rPr>
            </w:pPr>
          </w:p>
        </w:tc>
      </w:tr>
    </w:tbl>
    <w:p>
      <w:pPr>
        <w:jc w:val="both"/>
        <w:rPr>
          <w:rFonts w:hint="default" w:asciiTheme="majorEastAsia" w:hAnsiTheme="majorEastAsia" w:eastAsiaTheme="majorEastAsia"/>
          <w:b w:val="0"/>
          <w:bCs/>
          <w:sz w:val="28"/>
          <w:szCs w:val="28"/>
          <w:lang w:val="en-US" w:eastAsia="zh-CN"/>
        </w:rPr>
      </w:pPr>
      <w:r>
        <w:rPr>
          <w:rFonts w:hint="eastAsia" w:asciiTheme="majorEastAsia" w:hAnsiTheme="majorEastAsia" w:eastAsiaTheme="majorEastAsia"/>
          <w:b w:val="0"/>
          <w:bCs/>
          <w:sz w:val="28"/>
          <w:szCs w:val="28"/>
          <w:lang w:val="en-US" w:eastAsia="zh-CN"/>
        </w:rPr>
        <w:t>备注：总价不得高于预算。</w:t>
      </w:r>
    </w:p>
    <w:p>
      <w:pPr>
        <w:ind w:firstLine="5760" w:firstLineChars="1800"/>
        <w:jc w:val="both"/>
        <w:rPr>
          <w:rFonts w:hint="eastAsia" w:asciiTheme="majorEastAsia" w:hAnsiTheme="majorEastAsia" w:eastAsiaTheme="majorEastAsia"/>
          <w:b w:val="0"/>
          <w:bCs/>
          <w:sz w:val="32"/>
          <w:szCs w:val="32"/>
          <w:lang w:val="en-US" w:eastAsia="zh-CN"/>
        </w:rPr>
      </w:pPr>
    </w:p>
    <w:p>
      <w:pPr>
        <w:ind w:firstLine="5760" w:firstLineChars="1800"/>
        <w:jc w:val="both"/>
        <w:rPr>
          <w:rFonts w:hint="eastAsia" w:asciiTheme="majorEastAsia" w:hAnsiTheme="majorEastAsia" w:eastAsiaTheme="majorEastAsia"/>
          <w:b w:val="0"/>
          <w:bCs/>
          <w:sz w:val="32"/>
          <w:szCs w:val="32"/>
          <w:lang w:val="en-US" w:eastAsia="zh-CN"/>
        </w:rPr>
      </w:pPr>
      <w:r>
        <w:rPr>
          <w:rFonts w:hint="eastAsia" w:asciiTheme="majorEastAsia" w:hAnsiTheme="majorEastAsia" w:eastAsiaTheme="majorEastAsia"/>
          <w:b w:val="0"/>
          <w:bCs/>
          <w:sz w:val="32"/>
          <w:szCs w:val="32"/>
          <w:lang w:val="en-US" w:eastAsia="zh-CN"/>
        </w:rPr>
        <w:t>单位：</w:t>
      </w:r>
    </w:p>
    <w:p>
      <w:pPr>
        <w:ind w:firstLine="5760" w:firstLineChars="1800"/>
        <w:jc w:val="both"/>
        <w:rPr>
          <w:rFonts w:hint="default" w:asciiTheme="majorEastAsia" w:hAnsiTheme="majorEastAsia" w:eastAsiaTheme="majorEastAsia"/>
          <w:b w:val="0"/>
          <w:bCs/>
          <w:sz w:val="32"/>
          <w:szCs w:val="32"/>
          <w:lang w:val="en-US" w:eastAsia="zh-CN"/>
        </w:rPr>
      </w:pPr>
      <w:r>
        <w:rPr>
          <w:rFonts w:hint="eastAsia" w:asciiTheme="majorEastAsia" w:hAnsiTheme="majorEastAsia" w:eastAsiaTheme="majorEastAsia"/>
          <w:b w:val="0"/>
          <w:bCs/>
          <w:sz w:val="32"/>
          <w:szCs w:val="32"/>
          <w:lang w:val="en-US" w:eastAsia="zh-CN"/>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E1818"/>
    <w:rsid w:val="000151DF"/>
    <w:rsid w:val="00022A10"/>
    <w:rsid w:val="000332B5"/>
    <w:rsid w:val="000433EA"/>
    <w:rsid w:val="000731C6"/>
    <w:rsid w:val="00074014"/>
    <w:rsid w:val="00083B95"/>
    <w:rsid w:val="000D1FB4"/>
    <w:rsid w:val="000E282F"/>
    <w:rsid w:val="000E2DE1"/>
    <w:rsid w:val="000F2736"/>
    <w:rsid w:val="00103603"/>
    <w:rsid w:val="001061AF"/>
    <w:rsid w:val="00155787"/>
    <w:rsid w:val="00181A23"/>
    <w:rsid w:val="001E1818"/>
    <w:rsid w:val="00217146"/>
    <w:rsid w:val="00235B28"/>
    <w:rsid w:val="00250DC0"/>
    <w:rsid w:val="002613E7"/>
    <w:rsid w:val="00270515"/>
    <w:rsid w:val="00284CD4"/>
    <w:rsid w:val="002B72FD"/>
    <w:rsid w:val="002D150B"/>
    <w:rsid w:val="00313960"/>
    <w:rsid w:val="00330231"/>
    <w:rsid w:val="00331847"/>
    <w:rsid w:val="00337098"/>
    <w:rsid w:val="00356A13"/>
    <w:rsid w:val="00361B61"/>
    <w:rsid w:val="00382AF0"/>
    <w:rsid w:val="003878C5"/>
    <w:rsid w:val="003B2090"/>
    <w:rsid w:val="004071F8"/>
    <w:rsid w:val="00456EC7"/>
    <w:rsid w:val="00461A72"/>
    <w:rsid w:val="00470CE8"/>
    <w:rsid w:val="004728F9"/>
    <w:rsid w:val="00482A9B"/>
    <w:rsid w:val="00500559"/>
    <w:rsid w:val="00525343"/>
    <w:rsid w:val="00530D78"/>
    <w:rsid w:val="00540DFC"/>
    <w:rsid w:val="00550817"/>
    <w:rsid w:val="00567583"/>
    <w:rsid w:val="00585326"/>
    <w:rsid w:val="005B5821"/>
    <w:rsid w:val="005D169F"/>
    <w:rsid w:val="005D4A6A"/>
    <w:rsid w:val="00605C1D"/>
    <w:rsid w:val="00636312"/>
    <w:rsid w:val="006465F5"/>
    <w:rsid w:val="00650651"/>
    <w:rsid w:val="00656821"/>
    <w:rsid w:val="00661DF9"/>
    <w:rsid w:val="006775E0"/>
    <w:rsid w:val="006837FB"/>
    <w:rsid w:val="006B0E6C"/>
    <w:rsid w:val="00701C16"/>
    <w:rsid w:val="00721FB3"/>
    <w:rsid w:val="007319B0"/>
    <w:rsid w:val="00733E39"/>
    <w:rsid w:val="00736893"/>
    <w:rsid w:val="007522A4"/>
    <w:rsid w:val="00764749"/>
    <w:rsid w:val="00777F05"/>
    <w:rsid w:val="007C4056"/>
    <w:rsid w:val="007D2550"/>
    <w:rsid w:val="007D425C"/>
    <w:rsid w:val="007F478C"/>
    <w:rsid w:val="00807253"/>
    <w:rsid w:val="00807BBA"/>
    <w:rsid w:val="00815722"/>
    <w:rsid w:val="0082003F"/>
    <w:rsid w:val="00844415"/>
    <w:rsid w:val="00867F72"/>
    <w:rsid w:val="008B6848"/>
    <w:rsid w:val="008C5887"/>
    <w:rsid w:val="00911CAB"/>
    <w:rsid w:val="00937BF7"/>
    <w:rsid w:val="00953483"/>
    <w:rsid w:val="00961E8A"/>
    <w:rsid w:val="00970AEB"/>
    <w:rsid w:val="009837AE"/>
    <w:rsid w:val="009C67A6"/>
    <w:rsid w:val="00A911ED"/>
    <w:rsid w:val="00AA0D3B"/>
    <w:rsid w:val="00AA16D6"/>
    <w:rsid w:val="00AA3A94"/>
    <w:rsid w:val="00AD777C"/>
    <w:rsid w:val="00AE2E13"/>
    <w:rsid w:val="00AF7B51"/>
    <w:rsid w:val="00B00302"/>
    <w:rsid w:val="00B06114"/>
    <w:rsid w:val="00B064D2"/>
    <w:rsid w:val="00B12589"/>
    <w:rsid w:val="00B31E67"/>
    <w:rsid w:val="00B43683"/>
    <w:rsid w:val="00BA5B8A"/>
    <w:rsid w:val="00BD5916"/>
    <w:rsid w:val="00C24700"/>
    <w:rsid w:val="00C33A57"/>
    <w:rsid w:val="00C42576"/>
    <w:rsid w:val="00C76508"/>
    <w:rsid w:val="00CA0C2D"/>
    <w:rsid w:val="00CC5642"/>
    <w:rsid w:val="00CC7636"/>
    <w:rsid w:val="00CE08A5"/>
    <w:rsid w:val="00D17ABF"/>
    <w:rsid w:val="00D27604"/>
    <w:rsid w:val="00D42B29"/>
    <w:rsid w:val="00D4543C"/>
    <w:rsid w:val="00D5030F"/>
    <w:rsid w:val="00D62DDE"/>
    <w:rsid w:val="00DC0265"/>
    <w:rsid w:val="00DD4501"/>
    <w:rsid w:val="00DE0312"/>
    <w:rsid w:val="00DE197E"/>
    <w:rsid w:val="00DE2659"/>
    <w:rsid w:val="00DE3C1E"/>
    <w:rsid w:val="00E03D3A"/>
    <w:rsid w:val="00E05126"/>
    <w:rsid w:val="00E22830"/>
    <w:rsid w:val="00E56BF2"/>
    <w:rsid w:val="00E72CF5"/>
    <w:rsid w:val="00E8057E"/>
    <w:rsid w:val="00E94B29"/>
    <w:rsid w:val="00E97EA0"/>
    <w:rsid w:val="00EB53A0"/>
    <w:rsid w:val="00EE2EBB"/>
    <w:rsid w:val="00F26CA0"/>
    <w:rsid w:val="00F57B05"/>
    <w:rsid w:val="00F9411D"/>
    <w:rsid w:val="00FC159B"/>
    <w:rsid w:val="00FC5C19"/>
    <w:rsid w:val="00FD7F6B"/>
    <w:rsid w:val="00FF0F90"/>
    <w:rsid w:val="00FF6334"/>
    <w:rsid w:val="04DE570E"/>
    <w:rsid w:val="05746F6A"/>
    <w:rsid w:val="08713027"/>
    <w:rsid w:val="08D635B6"/>
    <w:rsid w:val="0CA74FE0"/>
    <w:rsid w:val="0EEE67CE"/>
    <w:rsid w:val="131015CC"/>
    <w:rsid w:val="133B2F48"/>
    <w:rsid w:val="16F826DC"/>
    <w:rsid w:val="193A0778"/>
    <w:rsid w:val="1F9849C7"/>
    <w:rsid w:val="1FDA231C"/>
    <w:rsid w:val="278731FA"/>
    <w:rsid w:val="2F4A3B91"/>
    <w:rsid w:val="32F26E7E"/>
    <w:rsid w:val="36A843ED"/>
    <w:rsid w:val="3B0D0812"/>
    <w:rsid w:val="457967BF"/>
    <w:rsid w:val="47F62E50"/>
    <w:rsid w:val="4E903E6B"/>
    <w:rsid w:val="4FBE07A2"/>
    <w:rsid w:val="54232E73"/>
    <w:rsid w:val="57347A2F"/>
    <w:rsid w:val="5B324CC0"/>
    <w:rsid w:val="66CE4E69"/>
    <w:rsid w:val="67155CF5"/>
    <w:rsid w:val="672F5856"/>
    <w:rsid w:val="6B4638F7"/>
    <w:rsid w:val="6D4547D0"/>
    <w:rsid w:val="6E2144C0"/>
    <w:rsid w:val="6E374660"/>
    <w:rsid w:val="6ECA747D"/>
    <w:rsid w:val="72EB1DB2"/>
    <w:rsid w:val="789F0AD7"/>
    <w:rsid w:val="79032D0D"/>
    <w:rsid w:val="7C1B0F84"/>
    <w:rsid w:val="7D510C0A"/>
    <w:rsid w:val="7F122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嵊州市人民医院</Company>
  <Pages>1</Pages>
  <Words>37</Words>
  <Characters>211</Characters>
  <Lines>1</Lines>
  <Paragraphs>1</Paragraphs>
  <TotalTime>3</TotalTime>
  <ScaleCrop>false</ScaleCrop>
  <LinksUpToDate>false</LinksUpToDate>
  <CharactersWithSpaces>247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2018-11-09T00:33:00Z</dcterms:created>
  <dc:creator>嵊人医</dc:creator>
  <cp:lastModifiedBy>Administrator</cp:lastModifiedBy>
  <cp:lastPrinted>2026-09-01T05:46:13Z</cp:lastPrinted>
  <dcterms:modified xsi:type="dcterms:W3CDTF">2026-09-01T05:46:26Z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690B985804AA49CBAB631FC1C604C0B1</vt:lpwstr>
  </property>
</Properties>
</file>