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E6DA7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jc w:val="both"/>
        <w:textAlignment w:val="auto"/>
        <w:rPr>
          <w:rFonts w:hint="eastAsia" w:ascii="楷体" w:hAnsi="楷体" w:eastAsia="楷体" w:cs="楷体"/>
          <w:b w:val="0"/>
          <w:bCs w:val="0"/>
          <w:color w:val="FF000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FF0000"/>
          <w:sz w:val="28"/>
          <w:szCs w:val="28"/>
          <w:lang w:val="en-US" w:eastAsia="zh-CN"/>
        </w:rPr>
        <w:t>“芷湘廉医”之警示教育</w:t>
      </w:r>
    </w:p>
    <w:p w14:paraId="472F5E4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jc w:val="both"/>
        <w:textAlignment w:val="auto"/>
        <w:rPr>
          <w:rFonts w:hint="eastAsia" w:asciiTheme="majorEastAsia" w:hAnsiTheme="majorEastAsia" w:eastAsiaTheme="majorEastAsia" w:cstheme="majorEastAsia"/>
          <w:color w:val="auto"/>
          <w:sz w:val="44"/>
          <w:szCs w:val="44"/>
        </w:rPr>
      </w:pPr>
    </w:p>
    <w:p w14:paraId="09D297E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jc w:val="both"/>
        <w:textAlignment w:val="auto"/>
        <w:rPr>
          <w:rFonts w:hint="eastAsia" w:asciiTheme="majorEastAsia" w:hAnsiTheme="majorEastAsia" w:eastAsiaTheme="majorEastAsia" w:cstheme="majorEastAsia"/>
          <w:color w:val="auto"/>
          <w:sz w:val="44"/>
          <w:szCs w:val="44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color w:val="auto"/>
          <w:sz w:val="44"/>
          <w:szCs w:val="44"/>
        </w:rPr>
        <w:t>重磅新规！5月1日起，医疗回扣 “入刑” ！</w:t>
      </w:r>
    </w:p>
    <w:p w14:paraId="24C4640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textAlignment w:val="auto"/>
        <w:rPr>
          <w:vanish/>
          <w:color w:val="auto"/>
        </w:rPr>
      </w:pPr>
      <w:r>
        <w:rPr>
          <w:rFonts w:ascii="宋体" w:hAnsi="宋体" w:eastAsia="宋体" w:cs="宋体"/>
          <w:vanish/>
          <w:color w:val="auto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color w:val="auto"/>
          <w:kern w:val="0"/>
          <w:sz w:val="24"/>
          <w:szCs w:val="24"/>
          <w:lang w:val="en-US" w:eastAsia="zh-CN" w:bidi="ar"/>
        </w:rPr>
        <w:instrText xml:space="preserve">INCLUDEPICTURE \d "https://mp.weixin.qq.com/" \* MERGEFORMATINET </w:instrText>
      </w:r>
      <w:r>
        <w:rPr>
          <w:rFonts w:ascii="宋体" w:hAnsi="宋体" w:eastAsia="宋体" w:cs="宋体"/>
          <w:vanish/>
          <w:color w:val="auto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vanish/>
          <w:color w:val="auto"/>
          <w:kern w:val="0"/>
          <w:sz w:val="24"/>
          <w:szCs w:val="24"/>
          <w:lang w:val="en-US" w:eastAsia="zh-CN" w:bidi="ar"/>
        </w:rPr>
        <mc:AlternateContent>
          <mc:Choice Requires="wps">
            <w:drawing>
              <wp:inline distT="0" distB="0" distL="114300" distR="114300">
                <wp:extent cx="304800" cy="304800"/>
                <wp:effectExtent l="4445" t="4445" r="8255" b="8255"/>
                <wp:docPr id="4" name="图片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图片 1" o:spid="_x0000_s1026" o:spt="1" style="height:24pt;width:24pt;" filled="f" stroked="t" coordsize="21600,21600" o:gfxdata="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KQZe8/QAAAAAwEAAA8AAAAAAAAAAQAgAAAAIgAAAGRycy9kb3ducmV2&#10;LnhtbFBLAQIUABQAAAAIAIdO4kBJFmNiBAIAACAEAAAOAAAAAAAAAAEAIAAAAB8BAABkcnMvZTJv&#10;RG9jLnhtbFBLBQYAAAAABgAGAFkBAACVBQAAAAA=&#10;">
                <v:fill on="f" focussize="0,0"/>
                <v:stroke color="#000000" joinstyle="miter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Fonts w:ascii="宋体" w:hAnsi="宋体" w:eastAsia="宋体" w:cs="宋体"/>
          <w:vanish/>
          <w:color w:val="auto"/>
          <w:kern w:val="0"/>
          <w:sz w:val="24"/>
          <w:szCs w:val="24"/>
          <w:lang w:val="en-US" w:eastAsia="zh-CN" w:bidi="ar"/>
        </w:rPr>
        <w:fldChar w:fldCharType="end"/>
      </w:r>
    </w:p>
    <w:p w14:paraId="1B75244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textAlignment w:val="auto"/>
        <w:rPr>
          <w:vanish/>
          <w:color w:val="auto"/>
        </w:rPr>
      </w:pPr>
      <w:r>
        <w:rPr>
          <w:rFonts w:ascii="宋体" w:hAnsi="宋体" w:eastAsia="宋体" w:cs="宋体"/>
          <w:vanish/>
          <w:color w:val="auto"/>
          <w:kern w:val="0"/>
          <w:sz w:val="24"/>
          <w:szCs w:val="24"/>
          <w:lang w:val="en-US" w:eastAsia="zh-CN" w:bidi="ar"/>
        </w:rPr>
        <w:t>在小说阅读器中沉浸阅读</w:t>
      </w:r>
    </w:p>
    <w:p w14:paraId="2F85D80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pacing w:val="10"/>
          <w:sz w:val="28"/>
          <w:szCs w:val="28"/>
        </w:rPr>
      </w:pPr>
    </w:p>
    <w:p w14:paraId="3EFFBA6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pacing w:val="1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10"/>
          <w:sz w:val="28"/>
          <w:szCs w:val="28"/>
        </w:rPr>
        <w:t>4月10日，最高人民法院、最高人民检察院联合发布《关于办理贪污贿赂刑事案件适用法律若干问题的解释（二）》，明确</w:t>
      </w:r>
      <w:r>
        <w:rPr>
          <w:rStyle w:val="6"/>
          <w:rFonts w:hint="eastAsia" w:asciiTheme="minorEastAsia" w:hAnsiTheme="minorEastAsia" w:eastAsiaTheme="minorEastAsia" w:cstheme="minorEastAsia"/>
          <w:color w:val="auto"/>
          <w:spacing w:val="10"/>
          <w:sz w:val="28"/>
          <w:szCs w:val="28"/>
        </w:rPr>
        <w:t>5月1日起正式执行</w:t>
      </w:r>
      <w:r>
        <w:rPr>
          <w:rFonts w:hint="eastAsia" w:asciiTheme="minorEastAsia" w:hAnsiTheme="minorEastAsia" w:eastAsiaTheme="minorEastAsia" w:cstheme="minorEastAsia"/>
          <w:color w:val="auto"/>
          <w:spacing w:val="10"/>
          <w:sz w:val="28"/>
          <w:szCs w:val="28"/>
        </w:rPr>
        <w:t>。</w:t>
      </w:r>
    </w:p>
    <w:p w14:paraId="4D84A4A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pacing w:val="1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10"/>
          <w:sz w:val="28"/>
          <w:szCs w:val="28"/>
        </w:rPr>
        <w:t>这份重磅文件对医疗行业而言，不是简单的政策调整，而是一次法律红线的全面收紧，</w:t>
      </w:r>
      <w:r>
        <w:rPr>
          <w:rStyle w:val="6"/>
          <w:rFonts w:hint="eastAsia" w:asciiTheme="minorEastAsia" w:hAnsiTheme="minorEastAsia" w:eastAsiaTheme="minorEastAsia" w:cstheme="minorEastAsia"/>
          <w:color w:val="auto"/>
          <w:spacing w:val="10"/>
          <w:sz w:val="28"/>
          <w:szCs w:val="28"/>
        </w:rPr>
        <w:t>所有医疗机构（公立+民营）、所有医务人员（从院长到医生）都必须在不到20天的窗口期内完成合规转型，否则将面临职业生涯终结与牢狱之灾的双重风险</w:t>
      </w:r>
      <w:r>
        <w:rPr>
          <w:rFonts w:hint="eastAsia" w:asciiTheme="minorEastAsia" w:hAnsiTheme="minorEastAsia" w:eastAsiaTheme="minorEastAsia" w:cstheme="minorEastAsia"/>
          <w:color w:val="auto"/>
          <w:spacing w:val="10"/>
          <w:sz w:val="28"/>
          <w:szCs w:val="28"/>
        </w:rPr>
        <w:t>。</w:t>
      </w:r>
    </w:p>
    <w:p w14:paraId="10CAC8F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textAlignment w:val="auto"/>
        <w:rPr>
          <w:rStyle w:val="6"/>
          <w:rFonts w:ascii="宋体" w:hAnsi="宋体" w:eastAsia="宋体" w:cs="宋体"/>
          <w:color w:val="auto"/>
          <w:kern w:val="0"/>
          <w:sz w:val="28"/>
          <w:szCs w:val="28"/>
          <w:lang w:val="en-US" w:eastAsia="zh-CN" w:bidi="ar"/>
        </w:rPr>
      </w:pPr>
      <w:r>
        <w:rPr>
          <w:rStyle w:val="6"/>
          <w:rFonts w:ascii="宋体" w:hAnsi="宋体" w:eastAsia="宋体" w:cs="宋体"/>
          <w:color w:val="auto"/>
          <w:kern w:val="0"/>
          <w:sz w:val="28"/>
          <w:szCs w:val="28"/>
          <w:lang w:val="en-US" w:eastAsia="zh-CN" w:bidi="ar"/>
        </w:rPr>
        <w:t>医药反腐核心变化：正式进入“刑事高压”轨道</w:t>
      </w:r>
      <w:r>
        <w:rPr>
          <w:rStyle w:val="6"/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 w:bidi="ar"/>
        </w:rPr>
        <w:t>。</w:t>
      </w:r>
    </w:p>
    <w:p w14:paraId="5F2209D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00" w:firstLineChars="200"/>
        <w:textAlignment w:val="auto"/>
        <w:rPr>
          <w:rStyle w:val="6"/>
          <w:rFonts w:ascii="宋体" w:hAnsi="宋体" w:eastAsia="宋体" w:cs="宋体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10"/>
          <w:sz w:val="28"/>
          <w:szCs w:val="28"/>
        </w:rPr>
        <w:t>这是继2016年相关司法解释施行之后，反腐败司法领域特别重磅、全面的一次升级。《解释（二）》直接指向</w:t>
      </w:r>
      <w:r>
        <w:rPr>
          <w:rStyle w:val="6"/>
          <w:rFonts w:hint="eastAsia" w:asciiTheme="minorEastAsia" w:hAnsiTheme="minorEastAsia" w:eastAsiaTheme="minorEastAsia" w:cstheme="minorEastAsia"/>
          <w:color w:val="auto"/>
          <w:spacing w:val="10"/>
          <w:sz w:val="28"/>
          <w:szCs w:val="28"/>
        </w:rPr>
        <w:t>“单位行贿罪过去量刑过轻”</w:t>
      </w:r>
      <w:r>
        <w:rPr>
          <w:rFonts w:hint="eastAsia" w:asciiTheme="minorEastAsia" w:hAnsiTheme="minorEastAsia" w:eastAsiaTheme="minorEastAsia" w:cstheme="minorEastAsia"/>
          <w:color w:val="auto"/>
          <w:spacing w:val="10"/>
          <w:sz w:val="28"/>
          <w:szCs w:val="28"/>
        </w:rPr>
        <w:t>，这个长期让药企感到“安全”的制度漏洞。往往只是“罚酒三杯”了事，现在直接入刑并且加大处罚力度。</w:t>
      </w:r>
    </w:p>
    <w:p w14:paraId="5B57877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1124" w:firstLineChars="400"/>
        <w:jc w:val="both"/>
        <w:textAlignment w:val="auto"/>
        <w:rPr>
          <w:rFonts w:hint="eastAsia" w:asciiTheme="minorEastAsia" w:hAnsiTheme="minorEastAsia" w:eastAsiaTheme="minorEastAsia" w:cstheme="minorEastAsia"/>
          <w:color w:val="FF0000"/>
          <w:spacing w:val="10"/>
          <w:sz w:val="28"/>
          <w:szCs w:val="28"/>
        </w:rPr>
      </w:pPr>
      <w:r>
        <w:rPr>
          <w:rStyle w:val="6"/>
          <w:rFonts w:ascii="宋体" w:hAnsi="宋体" w:eastAsia="宋体" w:cs="宋体"/>
          <w:color w:val="FF0000"/>
          <w:kern w:val="0"/>
          <w:sz w:val="28"/>
          <w:szCs w:val="28"/>
          <w:lang w:val="en-US" w:eastAsia="zh-CN" w:bidi="ar"/>
        </w:rPr>
        <w:t>三道数字红线：划死医护的法律生死线</w:t>
      </w:r>
    </w:p>
    <w:p w14:paraId="6546EC4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0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pacing w:val="1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10"/>
          <w:sz w:val="28"/>
          <w:szCs w:val="28"/>
        </w:rPr>
        <w:t>新规用三个明确的数额，彻底终结了所有 “侥幸话术”，每一条都直接戳中医护的执业风险：</w:t>
      </w:r>
    </w:p>
    <w:p w14:paraId="7D8E7D9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Style w:val="6"/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一、3万元，受贿入刑的绝对门槛</w:t>
      </w:r>
    </w:p>
    <w:p w14:paraId="13D6F53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10"/>
          <w:sz w:val="28"/>
          <w:szCs w:val="28"/>
        </w:rPr>
        <w:t>公立医院医务人员：对于院长、科室主任、药品 / 耗材采购负责人等具有国家工作人员身份的人员，只要收受药企、器械商贿赂数额达到3 万元，或虽不足 3 万元但存在多次索贿、赃款用于非法活动等情节，直接构成受贿罪，追究刑事责任。这不再是简单的纪律处分，而是实打实的刑事犯罪，留下案底，终身影响职业与人生。</w:t>
      </w:r>
    </w:p>
    <w:p w14:paraId="1227661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10"/>
          <w:sz w:val="28"/>
          <w:szCs w:val="28"/>
        </w:rPr>
        <w:t>民营医院医务人员：新规明确非国家工作人员受贿罪、对非国家工作人员行贿罪的定罪量刑标准，完全参照受贿罪、行贿罪执行。民营医院不再是 “法外之地”，院长、科主任、普通临床医生，收回扣一样要坐牢，量刑标准与公立医院完全看齐，彻底打破 “民营没人查” 的幻想。</w:t>
      </w:r>
    </w:p>
    <w:p w14:paraId="7E83867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10"/>
          <w:sz w:val="28"/>
          <w:szCs w:val="28"/>
        </w:rPr>
        <w:t>所有隐性利益全部计入：购物卡、会议机票、学术赞助、旅游福利、礼品礼金…… 所有形式的利益输送，全部计入贿赂总额，“非现金不算回扣” 的谎言彻底破产；分散给多名医生的回扣，累计计算总额，“分散就没事” 的侥幸彻底破灭。</w:t>
      </w:r>
    </w:p>
    <w:p w14:paraId="447C070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textAlignment w:val="auto"/>
        <w:rPr>
          <w:color w:val="auto"/>
          <w:sz w:val="28"/>
          <w:szCs w:val="28"/>
        </w:rPr>
      </w:pPr>
      <w:r>
        <w:rPr>
          <w:rStyle w:val="6"/>
          <w:rFonts w:ascii="宋体" w:hAnsi="宋体" w:eastAsia="宋体" w:cs="宋体"/>
          <w:color w:val="auto"/>
          <w:kern w:val="0"/>
          <w:sz w:val="28"/>
          <w:szCs w:val="28"/>
          <w:lang w:val="en-US" w:eastAsia="zh-CN" w:bidi="ar"/>
        </w:rPr>
        <w:t>二、20万元，单位行贿的追责起点</w:t>
      </w:r>
    </w:p>
    <w:p w14:paraId="328E262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对于药企、医疗器械公司而言，销售团队系统性给予回扣，单位行贿数额达到20 万元，即认定为 “情节严重”，单位被判处罚金，老板、总经理、销售总监等直接负责人，面临 5 年以下有期徒刑或拘役。</w:t>
      </w:r>
    </w:p>
    <w:p w14:paraId="63EE761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对医护而言，这意味着：药企再也无法用 “医药代表个人行为” 甩锅。只要行贿行为出于单位意志、利益归单位所有（如完成销售指标、提升公司业绩），一律按单位行贿罪论处，对应的受贿医护，将被全链条追溯，再也无法置身事外。</w:t>
      </w:r>
    </w:p>
    <w:p w14:paraId="1FB663E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Style w:val="6"/>
          <w:rFonts w:hint="eastAsia" w:asciiTheme="minorEastAsia" w:hAnsiTheme="minorEastAsia" w:eastAsiaTheme="minorEastAsia" w:cstheme="minorEastAsia"/>
          <w:color w:val="auto"/>
          <w:spacing w:val="0"/>
          <w:kern w:val="0"/>
          <w:sz w:val="28"/>
          <w:szCs w:val="28"/>
          <w:lang w:val="en-US" w:eastAsia="zh-CN" w:bidi="ar"/>
        </w:rPr>
        <w:t>三、200万元，情节特别严重的重罚升级</w:t>
      </w:r>
    </w:p>
    <w:p w14:paraId="5FD356C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10"/>
          <w:sz w:val="28"/>
          <w:szCs w:val="28"/>
        </w:rPr>
        <w:t>单位行贿数额在200 万元以上，或虽不足 200 万元但具备特定加重情节，直接认定为 “情节特别严重”，刑罚大幅加码。同时，医药领域被明确为重点监管行业，同等行贿金额，在医药行业将依法从重打击，医护人员作为受贿方，同样面临从重追责。</w:t>
      </w:r>
    </w:p>
    <w:p w14:paraId="1F8FB1A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10"/>
          <w:sz w:val="28"/>
          <w:szCs w:val="28"/>
        </w:rPr>
        <w:t>特别提醒：新规明确，</w:t>
      </w:r>
      <w:r>
        <w:rPr>
          <w:rStyle w:val="6"/>
          <w:rFonts w:hint="eastAsia" w:asciiTheme="minorEastAsia" w:hAnsiTheme="minorEastAsia" w:eastAsiaTheme="minorEastAsia" w:cstheme="minorEastAsia"/>
          <w:color w:val="auto"/>
          <w:spacing w:val="10"/>
          <w:sz w:val="28"/>
          <w:szCs w:val="28"/>
        </w:rPr>
        <w:t>医药领域被列为 “重点关照” 行业</w:t>
      </w:r>
      <w:r>
        <w:rPr>
          <w:rFonts w:hint="eastAsia" w:asciiTheme="minorEastAsia" w:hAnsiTheme="minorEastAsia" w:eastAsiaTheme="minorEastAsia" w:cstheme="minorEastAsia"/>
          <w:color w:val="auto"/>
          <w:spacing w:val="10"/>
          <w:sz w:val="28"/>
          <w:szCs w:val="28"/>
        </w:rPr>
        <w:t>，同样的行贿金额，在医药行业将依法从严打击，</w:t>
      </w:r>
      <w:r>
        <w:rPr>
          <w:rStyle w:val="6"/>
          <w:rFonts w:hint="eastAsia" w:asciiTheme="minorEastAsia" w:hAnsiTheme="minorEastAsia" w:eastAsiaTheme="minorEastAsia" w:cstheme="minorEastAsia"/>
          <w:color w:val="auto"/>
          <w:spacing w:val="10"/>
          <w:sz w:val="28"/>
          <w:szCs w:val="28"/>
        </w:rPr>
        <w:t>不存在 “从轻处理” 的空间</w:t>
      </w:r>
      <w:r>
        <w:rPr>
          <w:rFonts w:hint="eastAsia" w:asciiTheme="minorEastAsia" w:hAnsiTheme="minorEastAsia" w:eastAsiaTheme="minorEastAsia" w:cstheme="minorEastAsia"/>
          <w:color w:val="auto"/>
          <w:spacing w:val="10"/>
          <w:sz w:val="28"/>
          <w:szCs w:val="28"/>
        </w:rPr>
        <w:t>。</w:t>
      </w:r>
    </w:p>
    <w:p w14:paraId="399BF00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jc w:val="center"/>
        <w:textAlignment w:val="auto"/>
        <w:rPr>
          <w:color w:val="auto"/>
        </w:rPr>
      </w:pPr>
      <w:r>
        <w:rPr>
          <w:rStyle w:val="6"/>
          <w:color w:val="FF0000"/>
          <w:sz w:val="28"/>
          <w:szCs w:val="28"/>
        </w:rPr>
        <w:t>药企无法甩锅，医护难逃牵连</w:t>
      </w:r>
    </w:p>
    <w:p w14:paraId="04F56F5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10"/>
          <w:sz w:val="28"/>
          <w:szCs w:val="28"/>
        </w:rPr>
        <w:t>新规第十五条、第十六条明确：只要行贿行为是出于单位意志（单位集体研究决定、单位负责人 / 授权人员决定），且不正当利益最终归单位所有，一律按单位行贿罪论处。这意味着，药企的 “回扣账本” 再也无法隐瞒，每一笔回扣对应的医护人员，都将被穿透式追责，“牺牲一个代表保全整个公司” 的时代彻底终结，医护的每一笔回扣，都将成为自己的刑事证据。</w:t>
      </w:r>
    </w:p>
    <w:p w14:paraId="627B81B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Style w:val="6"/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 w:bidi="ar"/>
        </w:rPr>
        <w:t>医护注意：退赃也难避追责</w:t>
      </w:r>
    </w:p>
    <w:p w14:paraId="3F5AF4C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10"/>
          <w:sz w:val="28"/>
          <w:szCs w:val="28"/>
        </w:rPr>
        <w:t>新规不仅收紧了刑事定罪，更完成了 “行刑衔接” 的制度升级，给医护和医院套上了 “双保险”，一旦触碰，连锁反应致命：</w:t>
      </w:r>
    </w:p>
    <w:p w14:paraId="6ECDA3E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10"/>
          <w:sz w:val="28"/>
          <w:szCs w:val="28"/>
        </w:rPr>
        <w:t>退赃不再免刑：新规明确，</w:t>
      </w:r>
      <w:r>
        <w:rPr>
          <w:rStyle w:val="6"/>
          <w:rFonts w:hint="eastAsia" w:asciiTheme="minorEastAsia" w:hAnsiTheme="minorEastAsia" w:eastAsiaTheme="minorEastAsia" w:cstheme="minorEastAsia"/>
          <w:color w:val="auto"/>
          <w:spacing w:val="10"/>
          <w:sz w:val="28"/>
          <w:szCs w:val="28"/>
        </w:rPr>
        <w:t>主动退赃仅可作为量刑情节酌情考虑，不能直接免除刑事责任</w:t>
      </w:r>
      <w:r>
        <w:rPr>
          <w:rFonts w:hint="eastAsia" w:asciiTheme="minorEastAsia" w:hAnsiTheme="minorEastAsia" w:eastAsiaTheme="minorEastAsia" w:cstheme="minorEastAsia"/>
          <w:color w:val="auto"/>
          <w:spacing w:val="10"/>
          <w:sz w:val="28"/>
          <w:szCs w:val="28"/>
        </w:rPr>
        <w:t>。想靠 “退钱了事” 逃避牢狱之灾，这条路彻底堵死。</w:t>
      </w:r>
    </w:p>
    <w:p w14:paraId="79BB4F8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10"/>
          <w:sz w:val="28"/>
          <w:szCs w:val="28"/>
        </w:rPr>
        <w:t>对于医药企业而言，一是现在就主动合规改造，二是在5月1日后被动接受刑事审判。</w:t>
      </w:r>
      <w:r>
        <w:rPr>
          <w:rStyle w:val="6"/>
          <w:rFonts w:hint="eastAsia" w:asciiTheme="minorEastAsia" w:hAnsiTheme="minorEastAsia" w:eastAsiaTheme="minorEastAsia" w:cstheme="minorEastAsia"/>
          <w:color w:val="auto"/>
          <w:spacing w:val="10"/>
          <w:sz w:val="28"/>
          <w:szCs w:val="28"/>
        </w:rPr>
        <w:t>留给医院和药企的“紧急避险”时间不多了</w:t>
      </w:r>
      <w:r>
        <w:rPr>
          <w:rFonts w:hint="eastAsia" w:asciiTheme="minorEastAsia" w:hAnsiTheme="minorEastAsia" w:eastAsiaTheme="minorEastAsia" w:cstheme="minorEastAsia"/>
          <w:color w:val="auto"/>
          <w:spacing w:val="10"/>
          <w:sz w:val="28"/>
          <w:szCs w:val="28"/>
        </w:rPr>
        <w:t>。</w:t>
      </w:r>
    </w:p>
    <w:p w14:paraId="2F1F15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10366B"/>
    <w:rsid w:val="261320CB"/>
    <w:rsid w:val="5D46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1523</Words>
  <Characters>1536</Characters>
  <Lines>0</Lines>
  <Paragraphs>0</Paragraphs>
  <TotalTime>10</TotalTime>
  <ScaleCrop>false</ScaleCrop>
  <LinksUpToDate>false</LinksUpToDate>
  <CharactersWithSpaces>1574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2026-04-15T06:26:00Z</dcterms:created>
  <dc:creator>Administrator</dc:creator>
  <cp:lastModifiedBy>飞沙风中转</cp:lastModifiedBy>
  <dcterms:modified xsi:type="dcterms:W3CDTF">2026-04-15T06:38:10Z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eyJoZGlkIjoiZDYxZTA5ZjMwMTQ0NmI2ZjMxMWY3NzkyODAwNGE5MmIiLCJ1c2VySWQiOiI0OTQ5NTU2MjcifQ==</vt:lpwstr>
  </property>
  <property fmtid="{D5CDD505-2E9C-101B-9397-08002B2CF9AE}" pid="4" name="ICV">
    <vt:lpwstr>F113EF8BB75B40D5A7832165B453CD13_12</vt:lpwstr>
  </property>
</Properties>
</file>