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171A1D"/>
          <w:spacing w:val="0"/>
          <w:sz w:val="44"/>
          <w:szCs w:val="4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" w:hAnsi="楷体" w:eastAsia="楷体" w:cs="楷体"/>
          <w:b/>
          <w:bCs/>
          <w:i w:val="0"/>
          <w:iCs w:val="0"/>
          <w:caps w:val="0"/>
          <w:color w:val="171A1D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171A1D"/>
          <w:spacing w:val="0"/>
          <w:sz w:val="44"/>
          <w:szCs w:val="44"/>
          <w:shd w:val="clear" w:fill="FFFFFF"/>
          <w:lang w:val="en-US" w:eastAsia="zh-CN"/>
        </w:rPr>
        <w:t>四 个 严 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对本院工作人员（含在本院工作的第三方公司人员）介绍患者到社会经营机构购买本院不备的药品、耗材等容易引起患者是否存在利益输送疑虑的行为，特制订“四个严禁”的规定。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严禁违反医院外购药物、耗材规定：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/>
          <w:b/>
          <w:bCs/>
          <w:sz w:val="28"/>
          <w:szCs w:val="28"/>
        </w:rPr>
        <w:t>不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得向病人推荐非治疗性药物、非“准”字号药物（例如“消”字号、“健”字号、“械”字号等）；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非处方药不得提供处方等购买凭据。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2.本院不备药的治疗性药物，允许开具外配电子处方，告知患者可以到任意电子处方联网的社会药店自行采购，不得要求病人到指定药店购买；本院无货的医疗耗材，仅可向病人介绍名称及作用，不得要求病人到指定经营店家购买，不得提供任何购买凭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二、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严禁介绍患者到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与本院无正规合作关系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第三方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检查检验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机构进行检查检验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例如基因检测、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PET-</w:t>
      </w:r>
      <w:r>
        <w:rPr>
          <w:rFonts w:hint="default" w:ascii="楷体" w:hAnsi="楷体" w:eastAsia="楷体" w:cs="楷体"/>
          <w:b w:val="0"/>
          <w:bCs w:val="0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default" w:ascii="楷体" w:hAnsi="楷体" w:eastAsia="楷体" w:cs="楷体"/>
          <w:b w:val="0"/>
          <w:bCs w:val="0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instrText xml:space="preserve"> HYPERLINK "https://baike.baidu.com/item/CT/122415?fromModule=lemma_inlink" \t "https://baike.baidu.com/item/PET-CT/_blank" </w:instrText>
      </w:r>
      <w:r>
        <w:rPr>
          <w:rFonts w:hint="default" w:ascii="楷体" w:hAnsi="楷体" w:eastAsia="楷体" w:cs="楷体"/>
          <w:b w:val="0"/>
          <w:bCs w:val="0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Fonts w:hint="default" w:ascii="楷体" w:hAnsi="楷体" w:eastAsia="楷体" w:cs="楷体"/>
          <w:b w:val="0"/>
          <w:bCs w:val="0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CT</w:t>
      </w:r>
      <w:r>
        <w:rPr>
          <w:rFonts w:hint="default" w:ascii="楷体" w:hAnsi="楷体" w:eastAsia="楷体" w:cs="楷体"/>
          <w:b w:val="0"/>
          <w:bCs w:val="0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fldChar w:fldCharType="end"/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等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三、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严禁介绍患者到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其他医院、体检机构等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就诊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体检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向上级医院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正常转诊除外）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四、严禁向患者及家属推荐、介绍社会救护车辆转运、接送病人。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对违反四个严禁的情形，视情节轻重，给予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责任追究、停处方权、党纪政务处分、</w:t>
      </w:r>
      <w:r>
        <w:rPr>
          <w:rFonts w:hint="eastAsia" w:ascii="楷体" w:hAnsi="楷体" w:eastAsia="楷体" w:cs="楷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建议第三方公司解聘等处理。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320DCC"/>
    <w:multiLevelType w:val="singleLevel"/>
    <w:tmpl w:val="8A320D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35C9F"/>
    <w:rsid w:val="1CEA363C"/>
    <w:rsid w:val="369B5BB5"/>
    <w:rsid w:val="36EB5CA5"/>
    <w:rsid w:val="451B571A"/>
    <w:rsid w:val="46B63F5A"/>
    <w:rsid w:val="4C706E71"/>
    <w:rsid w:val="66333450"/>
    <w:rsid w:val="71EA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504</Characters>
  <Lines>0</Lines>
  <Paragraphs>0</Paragraphs>
  <TotalTime>19</TotalTime>
  <ScaleCrop>false</ScaleCrop>
  <LinksUpToDate>false</LinksUpToDate>
  <CharactersWithSpaces>504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2025-08-13T06:38:00Z</dcterms:created>
  <dc:creator>Administrator</dc:creator>
  <cp:lastModifiedBy>Administrator</cp:lastModifiedBy>
  <dcterms:modified xsi:type="dcterms:W3CDTF">2026-06-04T01:46:04Z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KSOTemplateDocerSaveRecord">
    <vt:lpwstr>eyJoZGlkIjoiZDYxZTA5ZjMwMTQ0NmI2ZjMxMWY3NzkyODAwNGE5MmIiLCJ1c2VySWQiOiI0OTQ5NTU2MjcifQ==</vt:lpwstr>
  </property>
  <property fmtid="{D5CDD505-2E9C-101B-9397-08002B2CF9AE}" pid="4" name="ICV">
    <vt:lpwstr>77A00669FF31405FB107C0709A48F3BD_12</vt:lpwstr>
  </property>
</Properties>
</file>