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嵊州市人民医院</w:t>
      </w:r>
      <w:r>
        <w:rPr>
          <w:rFonts w:hint="eastAsia" w:ascii="仿宋_GB2312" w:hAnsi="仿宋_GB2312" w:eastAsia="仿宋_GB2312" w:cs="仿宋_GB2312"/>
          <w:sz w:val="32"/>
          <w:szCs w:val="32"/>
          <w:lang w:eastAsia="zh-CN"/>
        </w:rPr>
        <w:t>病案</w:t>
      </w:r>
      <w:r>
        <w:rPr>
          <w:rFonts w:hint="eastAsia" w:ascii="仿宋_GB2312" w:hAnsi="仿宋_GB2312" w:eastAsia="仿宋_GB2312" w:cs="仿宋_GB2312"/>
          <w:sz w:val="32"/>
          <w:szCs w:val="32"/>
          <w:lang w:val="en-US" w:eastAsia="zh-CN"/>
        </w:rPr>
        <w:t>DRGs</w:t>
      </w:r>
      <w:bookmarkStart w:id="0" w:name="_GoBack"/>
      <w:bookmarkEnd w:id="0"/>
      <w:r>
        <w:rPr>
          <w:rFonts w:hint="eastAsia" w:ascii="仿宋_GB2312" w:hAnsi="仿宋_GB2312" w:eastAsia="仿宋_GB2312" w:cs="仿宋_GB2312"/>
          <w:sz w:val="32"/>
          <w:szCs w:val="32"/>
          <w:lang w:val="en-US" w:eastAsia="zh-CN"/>
        </w:rPr>
        <w:t>功能要求</w:t>
      </w:r>
    </w:p>
    <w:p>
      <w:pPr>
        <w:pStyle w:val="2"/>
        <w:rPr>
          <w:rFonts w:hint="eastAsia" w:ascii="仿宋_GB2312" w:hAnsi="仿宋_GB2312" w:eastAsia="仿宋_GB2312" w:cs="仿宋_GB2312"/>
        </w:rPr>
      </w:pPr>
      <w:r>
        <w:rPr>
          <w:rFonts w:hint="eastAsia" w:ascii="仿宋_GB2312" w:hAnsi="仿宋_GB2312" w:eastAsia="仿宋_GB2312" w:cs="仿宋_GB2312"/>
          <w:lang w:val="en-US" w:eastAsia="zh-CN"/>
        </w:rPr>
        <w:t>因本院有相应需求</w:t>
      </w:r>
      <w:r>
        <w:rPr>
          <w:rFonts w:hint="eastAsia" w:ascii="仿宋_GB2312" w:hAnsi="仿宋_GB2312" w:eastAsia="仿宋_GB2312" w:cs="仿宋_GB2312"/>
        </w:rPr>
        <w:t>，</w:t>
      </w:r>
      <w:r>
        <w:rPr>
          <w:rFonts w:hint="eastAsia" w:ascii="仿宋_GB2312" w:hAnsi="仿宋_GB2312" w:eastAsia="仿宋_GB2312" w:cs="仿宋_GB2312"/>
          <w:lang w:val="en-US" w:eastAsia="zh-CN"/>
        </w:rPr>
        <w:t>拟</w:t>
      </w:r>
      <w:r>
        <w:rPr>
          <w:rFonts w:hint="eastAsia" w:ascii="仿宋_GB2312" w:hAnsi="仿宋_GB2312" w:eastAsia="仿宋_GB2312" w:cs="仿宋_GB2312"/>
        </w:rPr>
        <w:t>采购</w:t>
      </w:r>
      <w:r>
        <w:rPr>
          <w:rFonts w:hint="eastAsia" w:ascii="仿宋_GB2312" w:hAnsi="仿宋_GB2312" w:eastAsia="仿宋_GB2312" w:cs="仿宋_GB2312"/>
          <w:lang w:eastAsia="zh-CN"/>
        </w:rPr>
        <w:t>病案</w:t>
      </w:r>
      <w:r>
        <w:rPr>
          <w:rFonts w:hint="eastAsia" w:ascii="仿宋_GB2312" w:hAnsi="仿宋_GB2312" w:eastAsia="仿宋_GB2312" w:cs="仿宋_GB2312"/>
        </w:rPr>
        <w:t>DRGs</w:t>
      </w:r>
      <w:r>
        <w:rPr>
          <w:rFonts w:hint="eastAsia" w:ascii="仿宋_GB2312" w:hAnsi="仿宋_GB2312" w:eastAsia="仿宋_GB2312" w:cs="仿宋_GB2312"/>
          <w:lang w:eastAsia="zh-CN"/>
        </w:rPr>
        <w:t>，从医院的综合能力、疑难病例能力、外科能力等多方面对医院进行全面分析。针对高发病种、重点监控病种，分析各病种的病人的地区分布、年龄分布、死亡率等。通过对医院DRG组的分析，为医院医疗费用的控制提供参考。系统通过全面、精细化的分析数据，给业务部门和医院领导决策提供准确的医疗信息参考</w:t>
      </w:r>
      <w:r>
        <w:rPr>
          <w:rFonts w:hint="eastAsia" w:ascii="仿宋_GB2312" w:hAnsi="仿宋_GB2312" w:eastAsia="仿宋_GB2312" w:cs="仿宋_GB2312"/>
        </w:rPr>
        <w:t>。详细</w:t>
      </w:r>
      <w:r>
        <w:rPr>
          <w:rFonts w:hint="eastAsia" w:ascii="仿宋_GB2312" w:hAnsi="仿宋_GB2312" w:eastAsia="仿宋_GB2312" w:cs="仿宋_GB2312"/>
          <w:lang w:val="en-US" w:eastAsia="zh-CN"/>
        </w:rPr>
        <w:t>功能包括但不限于</w:t>
      </w:r>
      <w:r>
        <w:rPr>
          <w:rFonts w:hint="eastAsia" w:ascii="仿宋_GB2312" w:hAnsi="仿宋_GB2312" w:eastAsia="仿宋_GB2312" w:cs="仿宋_GB2312"/>
        </w:rPr>
        <w:t>：</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1.数据审核</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1"/>
          <w:szCs w:val="21"/>
          <w:lang w:val="en-US"/>
        </w:rPr>
        <w:tab/>
      </w:r>
      <w:r>
        <w:rPr>
          <w:rFonts w:hint="eastAsia" w:ascii="仿宋_GB2312" w:hAnsi="仿宋_GB2312" w:eastAsia="仿宋_GB2312" w:cs="仿宋_GB2312"/>
          <w:sz w:val="24"/>
          <w:lang w:val="en-US" w:eastAsia="zh-CN"/>
        </w:rPr>
        <w:t>为保证DRGs数据分析的真实有效，对数据进行基本审核和DRGs审核。</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1.1基本数据审核</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针对上传的数据文件格式、字段格式、字段要求的值域等进行基本审核，</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反馈审核结果。</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1.2.DRGs数据审核</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1"/>
          <w:szCs w:val="21"/>
          <w:lang w:val="en-US"/>
        </w:rPr>
        <w:tab/>
      </w:r>
      <w:r>
        <w:rPr>
          <w:rFonts w:hint="eastAsia" w:ascii="仿宋_GB2312" w:hAnsi="仿宋_GB2312" w:eastAsia="仿宋_GB2312" w:cs="仿宋_GB2312"/>
          <w:sz w:val="21"/>
          <w:szCs w:val="21"/>
          <w:lang w:val="en-US" w:eastAsia="zh-CN"/>
        </w:rPr>
        <w:tab/>
      </w:r>
      <w:r>
        <w:rPr>
          <w:rFonts w:hint="eastAsia" w:ascii="仿宋_GB2312" w:hAnsi="仿宋_GB2312" w:eastAsia="仿宋_GB2312" w:cs="仿宋_GB2312"/>
          <w:sz w:val="24"/>
          <w:lang w:val="en-US" w:eastAsia="zh-CN"/>
        </w:rPr>
        <w:t>通过基本审核的数据，针对DRGs分组的需要，能审核出以下内容：不规</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范诊断、非标准编码、无效主诊断、无效主手术、手术部位未指明、与年龄</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/体重不符合的新生儿诊断、非新生儿主要诊断错误、无死亡风险主要诊断</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转归死亡、诊断编码性别错误-男性、诊断编码性别错误-女性、手术编码性</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别错误-男性、手术编码性别错误-女性、0-17岁儿童诊断编码错误。</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2.分组器</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2.1DRGs分组器</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对医院的病案首页数据（卫统4表）进行DRGs分组，具有自主知识产权的DRGs分组器。</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相对权重RW的设置，能够使用多维度表示一个DRGs组的疑难程度、风险程度和消耗资源的多少。</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提供查询，下载每个病例的详细DRGs入组明细。</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2.2重点监控病种/术种分组</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设置重点病种和重点术种，评价专科能力的强弱。</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病种的设置，能反应亚专科能力的强弱，基本覆盖所有的亚专科重点病</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种/术种。系统提供具有自主知识产权的重点监控病种/术种分组器，并能根</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据省（市）的具体情况，能够进行扩充和修改。</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2.3手术分级</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评价各医疗机构、临床科室、医生的外科能力，应具有独立的手术分级</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系统，能实际反应临床实际，包含以下的分级标准：</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复杂程度：手术时间、手术医生、医生职称等</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ab/>
      </w:r>
      <w:r>
        <w:rPr>
          <w:rFonts w:hint="eastAsia" w:ascii="仿宋_GB2312" w:hAnsi="仿宋_GB2312" w:eastAsia="仿宋_GB2312" w:cs="仿宋_GB2312"/>
          <w:sz w:val="24"/>
          <w:lang w:val="en-US" w:eastAsia="zh-CN"/>
        </w:rPr>
        <w:t>风险程度：术中出血、术后并发症、术后ICU等</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提供查询，下载每个病例的手术分级</w:t>
      </w:r>
    </w:p>
    <w:p>
      <w:pPr>
        <w:pStyle w:val="5"/>
        <w:spacing w:line="360" w:lineRule="auto"/>
        <w:ind w:left="0" w:leftChars="0" w:firstLine="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3.基于DRGs医疗服务评价分析</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3.1CMI分析</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反应医疗机构的综合能力，按照医院、科室、医生进行排名，包含以下指标：出院人数、DRGs组数、DRGs总量、CMI值、平均住院天数、平均总费用、平均药费、平均耗材费、低风险死亡率、费用指数、时间指数。</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3.2疑难病例分析</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一个DRGs组代表了诊疗方式、严重程度、消耗的医疗资源相近的一类病例，每个DRGs组赋予一个相对权重RW（Relative Weight）, 反应疾病的严重程度、诊疗难度和消耗的医疗资源。</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分析权重值较大的病例所占总分析病例的比例，代表了医院疑难病例的治疗能力。以RW=2作为疑难病例的权重值的基准，分析各个RW值段的病例比例。</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按医院、科室、医生进行排名，包含以下指标：出院人数、RW&gt;2人次及比例、2-5人次及比例、5-10人次及比例、RW&gt;10人次及比例。</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3.3外科能力分析</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对手术进行科学的分级，分析医院的三四级手术比例，代表外科能力的强弱。</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按医院、科室、医生进行排名，包含以下指标：出院人数、手术人次、三级手术、四级手术、三四级手术合计及占比。</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3.4重点监控病种/术种分析</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重点监控病种/术种设立和DRGs病种不同，重点监控病种/术种考虑的是专科排行，所以是分科室的。与传统概念中的单病种(单一疾病入院，无并发症和合并症)也不同。单病种考核的是专科能力，从各个专科中筛选反应该专科能力的病种，设置为重点监控病种/术种；重点监控病种/术种分组涉及到所有的诊断和所有的手术编码，一份病案仅仅归类于唯一一个重点监控病种/术种，如一个病例满足多个重点监控病种/术种的入组规则，则根据各个重点监控病种/术种的优先次序，入组到优先级高的一个重点监控病种/术种组。</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重点监控病种的考核指标包含：出院人数、均次费用、均次药费、药占比、平均住院日。</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手术病种增加：术前等待时间、均次卫材费、卫材占比。</w:t>
      </w:r>
    </w:p>
    <w:p>
      <w:pPr>
        <w:pStyle w:val="5"/>
        <w:spacing w:line="360" w:lineRule="auto"/>
        <w:ind w:left="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3.5医疗质量分析</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每个DRGs组设置了低风险死亡的评级，分为0-4级，0为低风险；1为中低风险；2为中高风险；3为高风险；4为极高风险。</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低风险组和中低风险组的死亡率，用于度量医院住院服务的安全和质量。其基本原理是：病例并不危重，一旦发生死亡，意味着死亡原因很可能不在疾病的本身而在临床过程；因此，低风险及中低风险DRGs病例的死亡率，提示临床或管理过程可能存在问题。</w:t>
      </w:r>
    </w:p>
    <w:p>
      <w:pPr>
        <w:pStyle w:val="5"/>
        <w:spacing w:line="360" w:lineRule="auto"/>
        <w:ind w:left="420" w:leftChars="0" w:firstLine="420" w:firstLineChars="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按医院、科室、医生查询低风险死亡例数，低风险死亡率。</w:t>
      </w:r>
    </w:p>
    <w:p>
      <w:pPr>
        <w:pStyle w:val="5"/>
        <w:spacing w:line="360" w:lineRule="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3.6国考数据分析</w:t>
      </w:r>
    </w:p>
    <w:p>
      <w:pPr>
        <w:pStyle w:val="5"/>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全院潜在单病种监控，依据国考单病种统计规则，系统检索出，潜在病例，这些病例需要由编码员进行审核，是否诊断次序有误或主手术选择错误，导致单病种的统计数据有误。</w:t>
      </w:r>
    </w:p>
    <w:p>
      <w:pPr>
        <w:pStyle w:val="5"/>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全院潜在四级手术，依据国考四级目录，部分细目为四级，部分为非四级，可能医院会编码到非四级手术，系统检索出，潜在病例，由编码员进行审核，避免“误编码”。</w:t>
      </w:r>
    </w:p>
    <w:p>
      <w:pPr>
        <w:pStyle w:val="5"/>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全院预警监控，查看全院、科室、医疗组以手术占比、微创手术占比、四级手术比例、手术患者并发症发生率、I类切口手术部位感染率以及单病种质量控制相关指标实际值与满分值和中位值的对比监控。</w:t>
      </w:r>
    </w:p>
    <w:p>
      <w:pPr>
        <w:pStyle w:val="5"/>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全院外科能力，查看全院、科室、医疗组出院患者手术人次、手术占比，微创手术人次、占比，四级手术人次、占比，择期手术人次，日间手术人次，以及日间手术占择期手术比例等指标以及同环比对比分析。</w:t>
      </w:r>
    </w:p>
    <w:p>
      <w:pPr>
        <w:pStyle w:val="5"/>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院医疗质量，查看全院、科室、医疗组择期手术人次（不含妊娠、分娩、新生儿）、择期手术患者并发人次、手术患者并发症发生率、Ⅰ类切口人次、Ⅰ类切口感染人次、Ⅰ类切口感染率等指标以及同环比对比分析。</w:t>
      </w:r>
    </w:p>
    <w:p>
      <w:pPr>
        <w:pStyle w:val="5"/>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全院术后并发症，查看全院各类择期手术并发症发生人次，各类并发症科室及医疗组的分布情况以及同环比对比分析。</w:t>
      </w:r>
    </w:p>
    <w:p>
      <w:pPr>
        <w:pStyle w:val="5"/>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全院单病种质量控制，查看全院国考病种（10个）的例数、平均住院日、次均费用、病死率和手术病种的术后并发症发生率等指标和各病种科室、医疗组的分布情况以及同环比对比分析。</w:t>
      </w:r>
    </w:p>
    <w:p>
      <w:pPr>
        <w:pStyle w:val="5"/>
        <w:spacing w:line="360" w:lineRule="auto"/>
        <w:ind w:left="420" w:leftChars="0" w:firstLine="420" w:firstLineChars="0"/>
        <w:rPr>
          <w:rFonts w:hint="eastAsia" w:ascii="仿宋_GB2312" w:hAnsi="仿宋_GB2312" w:eastAsia="仿宋_GB2312" w:cs="仿宋_GB2312"/>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E2CB4"/>
    <w:rsid w:val="100A73CC"/>
    <w:rsid w:val="102E711D"/>
    <w:rsid w:val="1136244A"/>
    <w:rsid w:val="187D3DBA"/>
    <w:rsid w:val="1B5508A0"/>
    <w:rsid w:val="1EFD0A42"/>
    <w:rsid w:val="20D63F6F"/>
    <w:rsid w:val="24A91031"/>
    <w:rsid w:val="29583A35"/>
    <w:rsid w:val="36B91444"/>
    <w:rsid w:val="36CA47AF"/>
    <w:rsid w:val="39EE3018"/>
    <w:rsid w:val="39F27F61"/>
    <w:rsid w:val="3AC26874"/>
    <w:rsid w:val="3EAB715E"/>
    <w:rsid w:val="3F1A4B14"/>
    <w:rsid w:val="439B27FA"/>
    <w:rsid w:val="48740996"/>
    <w:rsid w:val="4C2F4570"/>
    <w:rsid w:val="4D891B60"/>
    <w:rsid w:val="547A32A8"/>
    <w:rsid w:val="54CD2A1F"/>
    <w:rsid w:val="5A0532BF"/>
    <w:rsid w:val="634023E1"/>
    <w:rsid w:val="6B782588"/>
    <w:rsid w:val="6F171477"/>
    <w:rsid w:val="6FCC6779"/>
    <w:rsid w:val="754E2CB4"/>
    <w:rsid w:val="7776420B"/>
    <w:rsid w:val="7F3C6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sz w:val="24"/>
      <w:szCs w:val="22"/>
      <w:lang w:val="zh-CN"/>
    </w:rPr>
  </w:style>
  <w:style w:type="paragraph" w:styleId="3">
    <w:name w:val="Body Text"/>
    <w:basedOn w:val="1"/>
    <w:next w:val="4"/>
    <w:qFormat/>
    <w:uiPriority w:val="0"/>
    <w:pPr>
      <w:spacing w:after="120"/>
    </w:pPr>
    <w:rPr>
      <w:rFonts w:ascii="Tahoma" w:hAnsi="Tahoma"/>
    </w:rPr>
  </w:style>
  <w:style w:type="paragraph" w:styleId="4">
    <w:name w:val="Body Text First Indent"/>
    <w:basedOn w:val="3"/>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5">
    <w:name w:val="List 2"/>
    <w:basedOn w:val="1"/>
    <w:qFormat/>
    <w:uiPriority w:val="0"/>
    <w:pPr>
      <w:ind w:left="100" w:leftChars="200" w:hanging="200" w:hanging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2761</Words>
  <Characters>2921</Characters>
  <Lines>0</Lines>
  <Paragraphs>0</Paragraphs>
  <TotalTime>14</TotalTime>
  <ScaleCrop>false</ScaleCrop>
  <LinksUpToDate>false</LinksUpToDate>
  <CharactersWithSpaces>2984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2024-05-14T02:16:00Z</dcterms:created>
  <dc:creator>cicada</dc:creator>
  <cp:lastModifiedBy>zheng</cp:lastModifiedBy>
  <dcterms:modified xsi:type="dcterms:W3CDTF">2026-06-15T06:21:58Z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0278D59D9372474FA233FC96FCE070DF</vt:lpwstr>
  </property>
  <property fmtid="{D5CDD505-2E9C-101B-9397-08002B2CF9AE}" pid="4" name="KSOTemplateDocerSaveRecord">
    <vt:lpwstr>eyJoZGlkIjoiZDIzMzg1MjBlN2VjMDQxYjkyZmIyN2E3OWY0NzUwNWYiLCJ1c2VySWQiOiIyNjMwMTYxODcifQ==</vt:lpwstr>
  </property>
</Properties>
</file>