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0"/>
        </w:numPr>
        <w:ind w:firstLine="2640" w:firstLineChars="11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服务器汇聚交换机主要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需求</w:t>
      </w:r>
    </w:p>
    <w:tbl>
      <w:tblPr>
        <w:tblStyle w:val="4"/>
        <w:tblW w:w="8400" w:type="dxa"/>
        <w:tblInd w:w="3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FangSong_GB2312" w:hAnsi="新宋体" w:eastAsia="FangSong_GB2312" w:cs="宋体"/>
                <w:b/>
                <w:bCs/>
                <w:sz w:val="24"/>
                <w:lang w:eastAsia="zh-CN"/>
              </w:rPr>
              <w:t>主要需求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设备性能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交换容量≥100Tbps、包转发率≥76000Mpps，以官网较小值为准，提供官网清晰截图证明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VXLAN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支持VxLAN 分布式 Anycast网关，VxLAN Fabric 的自动化部署，VxLAN Bridge Domain(BD)数量为16K；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设备规格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主控引擎模块≥2，业务槽位数≥6个，支持主控板、风扇、电源冗余，主控板主备切换无丢包；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业务融合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支持FW防火墙和IPS防火墙业务卡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支持内置智能图形化管理功能，对于下联设备具备统一管理的功能，能够通过图形化界面对组内设备进行配置文件一键下发，对拓扑内的设备或设备组批量进行版本升级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支持融合AC功能，无需额外配置单独硬件，在交换机上实现对AP的接入控制和管理，有线无线用户的统一认证管理；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虚拟化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支持横向虚拟化技术，具备四虚一，支持16条40G堆叠链路，堆叠带宽能达到双向1.28T；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安全特性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支持256位全端口MACSEC加密；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QOS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每端口支持8个优先级队列，支持SP、WRR、SP+WRR、WFQ队列调度算法；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时钟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支持基于1588v2、802.1AS、st2059-2和aes67-2015协议的PTP功能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TAP功能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支持TAP能力，可支持TAP 同源同宿功能，报文截断功能，源端口标识功能，支持 TAP 基于端口的 M:N 模型功能，M:N 模型下最大 M 口规格为 575, N口规格为575;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设备配置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配置双主控，冗余电源，≥48个10G光口，≥48个千兆电口，≥1根3米40G堆叠线缆，≥46个万兆多模模块，≥2个万兆单模模块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Arial"/>
                <w:sz w:val="18"/>
                <w:szCs w:val="18"/>
              </w:rPr>
              <w:t>服务和授权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包安装调试，与本院现有设备对接，</w:t>
            </w:r>
            <w:r>
              <w:rPr>
                <w:rFonts w:hint="eastAsia" w:ascii="微软雅黑" w:hAnsi="微软雅黑" w:eastAsia="微软雅黑" w:cs="Arial"/>
                <w:sz w:val="18"/>
                <w:szCs w:val="18"/>
              </w:rPr>
              <w:t>提供原厂5年免费人工、部件服务，7*24小时响应</w:t>
            </w:r>
            <w:r>
              <w:rPr>
                <w:rFonts w:hint="eastAsia" w:ascii="微软雅黑" w:hAnsi="微软雅黑" w:eastAsia="微软雅黑" w:cs="Arial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sz w:val="18"/>
                <w:szCs w:val="18"/>
                <w:lang w:val="en-US" w:eastAsia="zh-CN"/>
              </w:rPr>
              <w:t>提供虚拟化宿主机的迁移服务，不得影响现有业务，并提供配件附材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D5510"/>
    <w:rsid w:val="169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ahoma" w:hAnsi="Tahoma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 w:hAnsi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2026-04-20T02:11:00Z</dcterms:created>
  <dc:creator>zheng</dc:creator>
  <cp:lastModifiedBy>zheng</cp:lastModifiedBy>
  <dcterms:modified xsi:type="dcterms:W3CDTF">2026-04-20T05:56:06Z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613724CE89054E3A8EC219390B09F3A9</vt:lpwstr>
  </property>
</Properties>
</file>